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2E0B5B">
      <w:r>
        <w:rPr>
          <w:noProof/>
        </w:rPr>
        <w:drawing>
          <wp:anchor distT="0" distB="0" distL="114300" distR="114300" simplePos="0" relativeHeight="251666432" behindDoc="1" locked="0" layoutInCell="1" allowOverlap="1" wp14:anchorId="47223862" wp14:editId="06D9F12E">
            <wp:simplePos x="0" y="0"/>
            <wp:positionH relativeFrom="column">
              <wp:posOffset>-1191260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F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9A06" wp14:editId="1D7FB3D2">
                <wp:simplePos x="0" y="0"/>
                <wp:positionH relativeFrom="margin">
                  <wp:posOffset>133350</wp:posOffset>
                </wp:positionH>
                <wp:positionV relativeFrom="paragraph">
                  <wp:posOffset>-666115</wp:posOffset>
                </wp:positionV>
                <wp:extent cx="50673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2346F0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2346F0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2346F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2346F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346F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52.45pt;width:399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" strokecolor="white [3212]">
                <v:textbox>
                  <w:txbxContent>
                    <w:p w:rsidR="007811ED" w:rsidRPr="002346F0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2346F0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2346F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2346F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2346F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523875</wp:posOffset>
                </wp:positionH>
                <wp:positionV relativeFrom="paragraph">
                  <wp:posOffset>107950</wp:posOffset>
                </wp:positionV>
                <wp:extent cx="401002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41.25pt;margin-top:8.5pt;width:315.7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8C56A5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FA51AE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</w:t>
                            </w:r>
                            <w:r w:rsidR="009C651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ng</w:t>
                            </w: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8C56A5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FA51AE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</w:t>
                      </w:r>
                      <w:r w:rsidR="009C651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ng</w:t>
                      </w: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2346F0">
        <w:rPr>
          <w:rFonts w:asciiTheme="minorHAnsi" w:eastAsiaTheme="minorHAnsi" w:hAnsiTheme="minorHAnsi" w:cstheme="minorBidi"/>
          <w:smallCaps/>
          <w:sz w:val="48"/>
          <w:szCs w:val="23"/>
        </w:rPr>
        <w:t>Connect For Quality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FA51AE" w:rsidRDefault="001D0E46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2346F0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>Promoting Quality Early Childhood Programs</w:t>
      </w:r>
    </w:p>
    <w:p w:rsidR="002346F0" w:rsidRPr="002346F0" w:rsidRDefault="002346F0" w:rsidP="002346F0">
      <w:p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</w:rPr>
      </w:pPr>
      <w:r w:rsidRPr="002346F0">
        <w:rPr>
          <w:rFonts w:ascii="Arial Rounded MT Bold" w:eastAsiaTheme="minorHAnsi" w:hAnsi="Arial Rounded MT Bold" w:cs="Arial Rounded MT Bold"/>
          <w:color w:val="000000"/>
        </w:rPr>
        <w:t xml:space="preserve"> </w:t>
      </w:r>
    </w:p>
    <w:p w:rsidR="002346F0" w:rsidRDefault="002346F0" w:rsidP="002346F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2346F0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 xml:space="preserve">Do you enjoy organizing events? </w:t>
      </w:r>
    </w:p>
    <w:p w:rsidR="002346F0" w:rsidRDefault="002346F0" w:rsidP="002346F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2346F0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>Are you interested in promoting quality early childhood programs to professionals in the Early Childhood field?</w:t>
      </w:r>
    </w:p>
    <w:p w:rsidR="002346F0" w:rsidRDefault="002346F0" w:rsidP="002346F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2346F0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>Do you want to help early childhood professionals build working relationships with their peers?</w:t>
      </w:r>
    </w:p>
    <w:p w:rsidR="00A66988" w:rsidRPr="002346F0" w:rsidRDefault="002346F0" w:rsidP="002346F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2346F0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>If so, CAAEYC has a committee for you!</w:t>
      </w:r>
    </w:p>
    <w:p w:rsidR="002346F0" w:rsidRDefault="002346F0" w:rsidP="002346F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DB010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u w:val="single"/>
        </w:rPr>
      </w:pPr>
      <w:r>
        <w:rPr>
          <w:rFonts w:asciiTheme="minorHAnsi" w:eastAsiaTheme="minorHAnsi" w:hAnsiTheme="minorHAnsi" w:cstheme="minorBidi"/>
          <w:i/>
          <w:sz w:val="28"/>
          <w:u w:val="single"/>
        </w:rPr>
        <w:t>Responsibilities</w:t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>:</w:t>
      </w: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Brainstorming and selecting appropriate early childhood program sites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to serve as hosts for </w:t>
      </w:r>
      <w:r>
        <w:rPr>
          <w:rFonts w:asciiTheme="minorHAnsi" w:eastAsiaTheme="minorHAnsi" w:hAnsiTheme="minorHAnsi" w:cs="Arial Rounded MT Bold"/>
          <w:color w:val="000000"/>
          <w:szCs w:val="20"/>
        </w:rPr>
        <w:t>the Connect for Quality event</w:t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 (alternating East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and West </w:t>
      </w:r>
      <w:r>
        <w:rPr>
          <w:rFonts w:asciiTheme="minorHAnsi" w:eastAsiaTheme="minorHAnsi" w:hAnsiTheme="minorHAnsi" w:cs="Arial Rounded MT Bold"/>
          <w:color w:val="000000"/>
          <w:szCs w:val="20"/>
        </w:rPr>
        <w:t>Shore every other year)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Visiting potential host sites and making sure sites meet high standards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for early care programs as set forth by NAEYC and Keystone Stars (may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use ITERS and E</w:t>
      </w:r>
      <w:r>
        <w:rPr>
          <w:rFonts w:asciiTheme="minorHAnsi" w:eastAsiaTheme="minorHAnsi" w:hAnsiTheme="minorHAnsi" w:cs="Arial Rounded MT Bold"/>
          <w:color w:val="000000"/>
          <w:szCs w:val="20"/>
        </w:rPr>
        <w:t>CERS to help with this process)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bookmarkStart w:id="0" w:name="_GoBack"/>
      <w:bookmarkEnd w:id="0"/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Advertising event in CAAEYC Courier (newsletter) and sending out e-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mail invites to prospective participants using CAAEYC e-mail list.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Placing information about event on CAAEYC website and providing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information to Re</w:t>
      </w:r>
      <w:r>
        <w:rPr>
          <w:rFonts w:asciiTheme="minorHAnsi" w:eastAsiaTheme="minorHAnsi" w:hAnsiTheme="minorHAnsi" w:cs="Arial Rounded MT Bold"/>
          <w:color w:val="000000"/>
          <w:szCs w:val="20"/>
        </w:rPr>
        <w:t>gional Key for advertising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Creating registration mailer for event and sending out mailer to area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early learning program</w:t>
      </w:r>
      <w:r>
        <w:rPr>
          <w:rFonts w:asciiTheme="minorHAnsi" w:eastAsiaTheme="minorHAnsi" w:hAnsiTheme="minorHAnsi" w:cs="Arial Rounded MT Bold"/>
          <w:color w:val="000000"/>
          <w:szCs w:val="20"/>
        </w:rPr>
        <w:t>s and to current CAAEYC members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Coor</w:t>
      </w:r>
      <w:r>
        <w:rPr>
          <w:rFonts w:asciiTheme="minorHAnsi" w:eastAsiaTheme="minorHAnsi" w:hAnsiTheme="minorHAnsi" w:cs="Arial Rounded MT Bold"/>
          <w:color w:val="000000"/>
          <w:szCs w:val="20"/>
        </w:rPr>
        <w:t>dinating registration for event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Soliciting door prize</w:t>
      </w:r>
      <w:r>
        <w:rPr>
          <w:rFonts w:asciiTheme="minorHAnsi" w:eastAsiaTheme="minorHAnsi" w:hAnsiTheme="minorHAnsi" w:cs="Arial Rounded MT Bold"/>
          <w:color w:val="000000"/>
          <w:szCs w:val="20"/>
        </w:rPr>
        <w:t>s from vendors for raffle event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Holding raffle at the conclusion of</w:t>
      </w:r>
      <w:r>
        <w:rPr>
          <w:rFonts w:asciiTheme="minorHAnsi" w:eastAsiaTheme="minorHAnsi" w:hAnsiTheme="minorHAnsi" w:cs="Arial Rounded MT Bold"/>
          <w:color w:val="000000"/>
          <w:szCs w:val="20"/>
        </w:rPr>
        <w:t xml:space="preserve"> the event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>Photographing ev</w:t>
      </w:r>
      <w:r>
        <w:rPr>
          <w:rFonts w:asciiTheme="minorHAnsi" w:eastAsiaTheme="minorHAnsi" w:hAnsiTheme="minorHAnsi" w:cs="Arial Rounded MT Bold"/>
          <w:color w:val="000000"/>
          <w:szCs w:val="20"/>
        </w:rPr>
        <w:t>ent for marketing/publicity use</w:t>
      </w:r>
    </w:p>
    <w:p w:rsidR="002346F0" w:rsidRDefault="002346F0" w:rsidP="002346F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Providing attendees with certificates for participating in the event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(qualifies for Keystone Stars </w:t>
      </w:r>
      <w:r>
        <w:rPr>
          <w:rFonts w:asciiTheme="minorHAnsi" w:eastAsiaTheme="minorHAnsi" w:hAnsiTheme="minorHAnsi" w:cs="Arial Rounded MT Bold"/>
          <w:color w:val="000000"/>
          <w:szCs w:val="20"/>
        </w:rPr>
        <w:t>Professional Development Hours)</w:t>
      </w:r>
    </w:p>
    <w:p w:rsidR="00D03835" w:rsidRPr="002346F0" w:rsidRDefault="002346F0" w:rsidP="00D038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="Arial Rounded MT Bold" w:eastAsiaTheme="minorHAnsi" w:hAnsi="Arial Rounded MT Bold" w:cstheme="minorBidi"/>
        </w:rPr>
      </w:pP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 xml:space="preserve">Submitting a brief write-up about the event to PennAEYC for their </w:t>
      </w:r>
      <w:r w:rsidRPr="002346F0">
        <w:rPr>
          <w:rFonts w:asciiTheme="minorHAnsi" w:eastAsiaTheme="minorHAnsi" w:hAnsiTheme="minorHAnsi" w:cs="Arial Rounded MT Bold"/>
          <w:color w:val="000000"/>
          <w:szCs w:val="20"/>
        </w:rPr>
        <w:tab/>
        <w:t>newsletter, as well as for the Courier</w:t>
      </w:r>
    </w:p>
    <w:p w:rsidR="00667577" w:rsidRPr="00D03835" w:rsidRDefault="00962B6D" w:rsidP="00D03835">
      <w:pPr>
        <w:tabs>
          <w:tab w:val="left" w:pos="5927"/>
        </w:tabs>
        <w:jc w:val="center"/>
        <w:rPr>
          <w:rFonts w:asciiTheme="minorHAnsi" w:hAnsiTheme="minorHAnsi"/>
          <w:smallCaps/>
          <w:sz w:val="52"/>
        </w:rPr>
      </w:pPr>
      <w:r w:rsidRPr="00D03835">
        <w:rPr>
          <w:rFonts w:asciiTheme="minorHAnsi" w:hAnsiTheme="minorHAnsi"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61F27C1D" wp14:editId="2E9049D7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35">
        <w:rPr>
          <w:rFonts w:asciiTheme="minorHAnsi" w:hAnsiTheme="minorHAnsi"/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CA8D984" wp14:editId="64AD61A9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3835" w:rsidRPr="00D03835">
        <w:rPr>
          <w:rFonts w:asciiTheme="minorHAnsi" w:hAnsiTheme="minorHAnsi"/>
          <w:smallCaps/>
          <w:sz w:val="52"/>
        </w:rPr>
        <w:t xml:space="preserve"> </w:t>
      </w:r>
    </w:p>
    <w:sectPr w:rsidR="00667577" w:rsidRPr="00D03835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C81F4F"/>
    <w:multiLevelType w:val="hybridMultilevel"/>
    <w:tmpl w:val="86A029B6"/>
    <w:lvl w:ilvl="0" w:tplc="9614F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1D0E46"/>
    <w:rsid w:val="002346F0"/>
    <w:rsid w:val="002955DC"/>
    <w:rsid w:val="002E0B5B"/>
    <w:rsid w:val="004B300E"/>
    <w:rsid w:val="0056249E"/>
    <w:rsid w:val="00655F2D"/>
    <w:rsid w:val="00667577"/>
    <w:rsid w:val="007442DB"/>
    <w:rsid w:val="007811ED"/>
    <w:rsid w:val="007E7D0C"/>
    <w:rsid w:val="00862A5F"/>
    <w:rsid w:val="008A4544"/>
    <w:rsid w:val="008C56A5"/>
    <w:rsid w:val="008F6E8A"/>
    <w:rsid w:val="00916F84"/>
    <w:rsid w:val="00962B6D"/>
    <w:rsid w:val="009C34BA"/>
    <w:rsid w:val="009C6519"/>
    <w:rsid w:val="00A66988"/>
    <w:rsid w:val="00B068F9"/>
    <w:rsid w:val="00B33453"/>
    <w:rsid w:val="00D03835"/>
    <w:rsid w:val="00DB010E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BBB3-D724-4C75-908F-4F70382A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24</cp:revision>
  <dcterms:created xsi:type="dcterms:W3CDTF">2013-08-14T12:23:00Z</dcterms:created>
  <dcterms:modified xsi:type="dcterms:W3CDTF">2014-10-22T15:24:00Z</dcterms:modified>
</cp:coreProperties>
</file>