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2346F0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2346F0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2346F0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346F0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2346F0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2346F0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2346F0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2346F0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D03835" w:rsidP="00667577">
      <w:pPr>
        <w:rPr>
          <w:sz w:val="22"/>
        </w:rPr>
      </w:pPr>
      <w:r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9441" wp14:editId="1B6B5948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Default="008F6E8A" w:rsidP="001D0E46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004CE691" wp14:editId="21360020">
                <wp:simplePos x="0" y="0"/>
                <wp:positionH relativeFrom="column">
                  <wp:posOffset>523875</wp:posOffset>
                </wp:positionH>
                <wp:positionV relativeFrom="paragraph">
                  <wp:posOffset>107950</wp:posOffset>
                </wp:positionV>
                <wp:extent cx="401002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1.25pt;margin-top:8.5pt;width:315.7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SvmwIAAKEFAAAOAAAAZHJzL2Uyb0RvYy54bWysVEtv2zAMvg/YfxB0X+28+gjqFEGLDgO6&#10;tmg79KzIUixAEjVJiZP9+lGy4wZdscOwiy2K5EfyE8nLq53RZCt8UGArOjopKRGWQ63suqI/Xm6/&#10;nFMSIrM102BFRfci0KvF50+XrZuLMTSga+EJgtgwb11FmxjdvCgCb4Rh4QScsKiU4A2LKPp1UXvW&#10;IrrRxbgsT4sWfO08cBEC3t50SrrI+FIKHh+kDCISXVHMLeavz99V+haLSzZfe+Yaxfs02D9kYZiy&#10;GHSAumGRkY1Xf0AZxT0EkPGEgylASsVFrgGrGZXvqnlumBO5FiQnuIGm8P9g+f320RNVV3RCiWUG&#10;n+gJNrYWNXlC8phda0EmiabWhTlaP7tH30sBj6nmnfQm/bEassvU7gdqxS4SjpdTrK4czyjhqJte&#10;zCZl5r5483Y+xK8CDEmHivqURUoh08q2dyFiWLQ/2KWIAbSqb5XWWUg9I661J1uGr804FzaeZne9&#10;Md+h7u7PZuUQO7dZcsnIR2hFqrarL5/iXosUQ9snIZEurGickQeE46CjTtWwWnTXKeSh3sEjx8yA&#10;CVliFQN2D/BRQaP0FkhDb59cRe7zwbn8W2Kd8+CRI4ONg7NRFvxHADoOkTt7zOKImnRcQb3HZvLQ&#10;TVlw/FbhW96xEB+Zx7HCAcRVER/wIzW0FYX+REkD/tdH98keux21lLQ4phUNPzfMC0r0N4tzcDGa&#10;TtNcZ2E6Oxuj4I81q2ON3ZhrwN4Y4VJyPB+TfdSHo/RgXnGjLFNUVDHLMXZFefQH4Tp26wN3EhfL&#10;ZTbDWXYs3tlnxxN4YjW16cvulXnXN3TEUbiHw0iz+buW7myTp4XlJoJUud/feO35xj2Q37/fWWnR&#10;HMvZ6m2zLn4DAAD//wMAUEsDBBQABgAIAAAAIQCESg++3gAAAAgBAAAPAAAAZHJzL2Rvd25yZXYu&#10;eG1sTI9Ba8JAEIXvhf6HZQq9lLpRjIlpNlIED1JoaeoPWLPTJJidDdk1xn/f8WRvM/Meb76Xbybb&#10;iREH3zpSMJ9FIJAqZ1qqFRx+dq8pCB80Gd05QgVX9LApHh9ynRl3oW8cy1ALDiGfaQVNCH0mpa8a&#10;tNrPXI/E2q8brA68DrU0g75wuO3kIopW0uqW+EOje9w2WJ3Ks1Vw+qw+tvskfVmNuJyo/PI23nul&#10;np+m9zcQAadwN8MNn9GhYKajO5PxolOQLmJ28j3hSqwn8yUPRwXrOAJZ5PJ/geIPAAD//wMAUEsB&#10;Ai0AFAAGAAgAAAAhALaDOJL+AAAA4QEAABMAAAAAAAAAAAAAAAAAAAAAAFtDb250ZW50X1R5cGVz&#10;XS54bWxQSwECLQAUAAYACAAAACEAOP0h/9YAAACUAQAACwAAAAAAAAAAAAAAAAAvAQAAX3JlbHMv&#10;LnJlbHNQSwECLQAUAAYACAAAACEA9r7Ur5sCAAChBQAADgAAAAAAAAAAAAAAAAAuAgAAZHJzL2Uy&#10;b0RvYy54bWxQSwECLQAUAAYACAAAACEAhEoPvt4AAAAIAQAADwAAAAAAAAAAAAAAAAD1BAAAZHJz&#10;L2Rvd25yZXYueG1sUEsFBgAAAAAEAAQA8wAAAAAGAAAAAA==&#10;" fillcolor="#e36c0a [2409]" strokecolor="#243f60 [1604]" strokeweight="2pt"/>
            </w:pict>
          </mc:Fallback>
        </mc:AlternateContent>
      </w: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FA51A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</w:t>
                            </w:r>
                            <w:r w:rsidR="0063559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ng</w:t>
                            </w:r>
                            <w:bookmarkStart w:id="0" w:name="_GoBack"/>
                            <w:bookmarkEnd w:id="0"/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FA51A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</w:t>
                      </w:r>
                      <w:r w:rsidR="0063559D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ng</w:t>
                      </w:r>
                      <w:bookmarkStart w:id="1" w:name="_GoBack"/>
                      <w:bookmarkEnd w:id="1"/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03835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44"/>
          <w:szCs w:val="23"/>
        </w:rPr>
      </w:pP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 </w:t>
      </w:r>
      <w:r w:rsidR="00B43087">
        <w:rPr>
          <w:rFonts w:asciiTheme="minorHAnsi" w:eastAsiaTheme="minorHAnsi" w:hAnsiTheme="minorHAnsi" w:cstheme="minorBidi"/>
          <w:smallCaps/>
          <w:sz w:val="48"/>
          <w:szCs w:val="23"/>
        </w:rPr>
        <w:t>Publicity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Default="001D0E46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B43087" w:rsidRPr="00FA51AE" w:rsidRDefault="00B43087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18"/>
          <w:szCs w:val="33"/>
        </w:rPr>
      </w:pPr>
    </w:p>
    <w:p w:rsidR="00FA51AE" w:rsidRPr="00D03835" w:rsidRDefault="002346F0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 xml:space="preserve">Promoting </w:t>
      </w:r>
      <w:r w:rsidR="00B43087">
        <w:rPr>
          <w:rFonts w:asciiTheme="minorHAnsi" w:eastAsiaTheme="minorHAnsi" w:hAnsiTheme="minorHAnsi" w:cstheme="minorBidi"/>
          <w:b/>
          <w:sz w:val="34"/>
          <w:szCs w:val="34"/>
        </w:rPr>
        <w:t>CAAEYC/Events</w:t>
      </w:r>
    </w:p>
    <w:p w:rsidR="002346F0" w:rsidRPr="002346F0" w:rsidRDefault="002346F0" w:rsidP="002346F0">
      <w:p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</w:rPr>
      </w:pPr>
      <w:r w:rsidRPr="002346F0">
        <w:rPr>
          <w:rFonts w:ascii="Arial Rounded MT Bold" w:eastAsiaTheme="minorHAnsi" w:hAnsi="Arial Rounded MT Bold" w:cs="Arial Rounded MT Bold"/>
          <w:color w:val="000000"/>
        </w:rPr>
        <w:t xml:space="preserve"> </w:t>
      </w:r>
    </w:p>
    <w:p w:rsidR="00B43087" w:rsidRP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 </w:t>
      </w:r>
    </w:p>
    <w:p w:rsid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Do you have good written and oral language skills? </w:t>
      </w:r>
    </w:p>
    <w:p w:rsid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Are you</w:t>
      </w:r>
      <w:r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 orga</w:t>
      </w: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nized? </w:t>
      </w:r>
    </w:p>
    <w:p w:rsid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Would you like to make a diffe</w:t>
      </w:r>
      <w:r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rence in the lives of area chil</w:t>
      </w: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 xml:space="preserve">dren and educators by helping to promote early childhood events and happenings? </w:t>
      </w:r>
    </w:p>
    <w:p w:rsidR="002346F0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  <w:r w:rsidRPr="00B43087"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  <w:t>If so, CAAEYC has a committee for you!</w:t>
      </w:r>
    </w:p>
    <w:p w:rsid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 Rounded MT Bold"/>
          <w:b/>
          <w:color w:val="000000"/>
          <w:sz w:val="22"/>
          <w:szCs w:val="22"/>
        </w:rPr>
      </w:pPr>
    </w:p>
    <w:p w:rsidR="00B43087" w:rsidRDefault="00B43087" w:rsidP="00B4308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</w:p>
    <w:p w:rsidR="00D03835" w:rsidRPr="00B33453" w:rsidRDefault="00DB010E" w:rsidP="00DB010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r>
        <w:rPr>
          <w:rFonts w:asciiTheme="minorHAnsi" w:eastAsiaTheme="minorHAnsi" w:hAnsiTheme="minorHAnsi" w:cstheme="minorBidi"/>
          <w:i/>
          <w:sz w:val="28"/>
          <w:u w:val="single"/>
        </w:rPr>
        <w:t>Responsibilities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B43087" w:rsidRDefault="00B43087" w:rsidP="00B4308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 xml:space="preserve">Submitting information about upcoming CAAEYC events to local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 xml:space="preserve">newspapers, television, and radio stations. Promoting events via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>CAAEYC Facebook page and website.</w:t>
      </w:r>
    </w:p>
    <w:p w:rsidR="00B43087" w:rsidRDefault="00B43087" w:rsidP="00B4308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 xml:space="preserve">Establishing media contacts and keeping an updated list of media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  <w:t>contacts for CAAEYC events</w:t>
      </w:r>
    </w:p>
    <w:p w:rsidR="00B43087" w:rsidRDefault="00B43087" w:rsidP="00B4308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>Writing articles on topic</w:t>
      </w:r>
      <w:r>
        <w:rPr>
          <w:rFonts w:asciiTheme="minorHAnsi" w:eastAsiaTheme="minorHAnsi" w:hAnsiTheme="minorHAnsi" w:cs="Arial Rounded MT Bold"/>
          <w:color w:val="000000"/>
          <w:szCs w:val="20"/>
        </w:rPr>
        <w:t>s of special interest to CAAEYC</w:t>
      </w:r>
    </w:p>
    <w:p w:rsidR="00B43087" w:rsidRDefault="00B43087" w:rsidP="00B4308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 xml:space="preserve">Writing articles that provide highlights of recently held CAAEYC events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 xml:space="preserve">or submitting photos ,with a caption of these events, to local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</w: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>newspapers, the PennAEYC e-newsletter and CAAEYC newsletter</w:t>
      </w:r>
    </w:p>
    <w:p w:rsidR="00B43087" w:rsidRDefault="00B43087" w:rsidP="00B4308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="Arial Rounded MT Bold"/>
          <w:color w:val="000000"/>
          <w:szCs w:val="20"/>
        </w:rPr>
      </w:pPr>
      <w:r w:rsidRPr="00B43087">
        <w:rPr>
          <w:rFonts w:asciiTheme="minorHAnsi" w:eastAsiaTheme="minorHAnsi" w:hAnsiTheme="minorHAnsi" w:cs="Arial Rounded MT Bold"/>
          <w:color w:val="000000"/>
          <w:szCs w:val="20"/>
        </w:rPr>
        <w:t>Communicating with all co</w:t>
      </w:r>
      <w:r>
        <w:rPr>
          <w:rFonts w:asciiTheme="minorHAnsi" w:eastAsiaTheme="minorHAnsi" w:hAnsiTheme="minorHAnsi" w:cs="Arial Rounded MT Bold"/>
          <w:color w:val="000000"/>
          <w:szCs w:val="20"/>
        </w:rPr>
        <w:t xml:space="preserve">mmittee chairpersons to keep everyone </w:t>
      </w:r>
      <w:r>
        <w:rPr>
          <w:rFonts w:asciiTheme="minorHAnsi" w:eastAsiaTheme="minorHAnsi" w:hAnsiTheme="minorHAnsi" w:cs="Arial Rounded MT Bold"/>
          <w:color w:val="000000"/>
          <w:szCs w:val="20"/>
        </w:rPr>
        <w:tab/>
        <w:t>informed</w:t>
      </w: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43087">
        <w:rPr>
          <w:rFonts w:asciiTheme="minorHAnsi" w:hAnsiTheme="minorHAnsi"/>
          <w:smallCaps/>
          <w:sz w:val="52"/>
        </w:rPr>
        <w:tab/>
      </w:r>
      <w:r w:rsidR="00D03835" w:rsidRPr="00D03835">
        <w:rPr>
          <w:rFonts w:asciiTheme="minorHAnsi" w:hAnsiTheme="minorHAnsi"/>
          <w:smallCaps/>
          <w:sz w:val="52"/>
        </w:rPr>
        <w:t xml:space="preserve"> </w: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86A029B6"/>
    <w:lvl w:ilvl="0" w:tplc="9614F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D0E46"/>
    <w:rsid w:val="002346F0"/>
    <w:rsid w:val="002955DC"/>
    <w:rsid w:val="002E0B5B"/>
    <w:rsid w:val="004B300E"/>
    <w:rsid w:val="0056249E"/>
    <w:rsid w:val="0063559D"/>
    <w:rsid w:val="00655F2D"/>
    <w:rsid w:val="0066757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A66988"/>
    <w:rsid w:val="00B068F9"/>
    <w:rsid w:val="00B33453"/>
    <w:rsid w:val="00B43087"/>
    <w:rsid w:val="00D03835"/>
    <w:rsid w:val="00DB010E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4B8B-6E94-4766-AF6E-A3C27D50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26</cp:revision>
  <dcterms:created xsi:type="dcterms:W3CDTF">2013-08-14T12:23:00Z</dcterms:created>
  <dcterms:modified xsi:type="dcterms:W3CDTF">2014-10-22T15:27:00Z</dcterms:modified>
</cp:coreProperties>
</file>